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b/>
          <w:color w:val="000000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电子招采系统</w:t>
      </w:r>
    </w:p>
    <w:p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  <w:t>投标客户端</w:t>
      </w:r>
    </w:p>
    <w:p>
      <w:pPr>
        <w:adjustRightInd w:val="0"/>
        <w:snapToGrid w:val="0"/>
        <w:jc w:val="center"/>
        <w:rPr>
          <w:rFonts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  <w:t>操作</w:t>
      </w: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手册</w:t>
      </w:r>
    </w:p>
    <w:p>
      <w:pPr>
        <w:adjustRightInd w:val="0"/>
        <w:snapToGrid w:val="0"/>
        <w:jc w:val="center"/>
        <w:rPr>
          <w:rFonts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（2022年，1.0版）</w:t>
      </w: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jc w:val="center"/>
        <w:rPr>
          <w:rFonts w:ascii="仿宋_GB2312" w:hAnsi="楷体" w:eastAsia="仿宋_GB2312"/>
          <w:b/>
          <w:bCs/>
          <w:sz w:val="36"/>
          <w:szCs w:val="36"/>
        </w:rPr>
      </w:pPr>
      <w:r>
        <w:rPr>
          <w:rFonts w:hint="eastAsia" w:ascii="仿宋_GB2312" w:hAnsi="楷体" w:eastAsia="仿宋_GB2312"/>
          <w:b/>
          <w:bCs/>
          <w:sz w:val="36"/>
          <w:szCs w:val="36"/>
        </w:rPr>
        <w:t>软件开发中心</w:t>
      </w:r>
    </w:p>
    <w:p>
      <w:pPr>
        <w:jc w:val="center"/>
        <w:rPr>
          <w:rFonts w:ascii="仿宋_GB2312" w:hAnsi="楷体" w:eastAsia="仿宋_GB2312"/>
          <w:b/>
          <w:bCs/>
          <w:sz w:val="36"/>
          <w:szCs w:val="36"/>
        </w:rPr>
      </w:pPr>
      <w:r>
        <w:rPr>
          <w:rFonts w:hint="eastAsia" w:ascii="仿宋_GB2312" w:hAnsi="楷体" w:eastAsia="仿宋_GB2312"/>
          <w:b/>
          <w:bCs/>
          <w:sz w:val="36"/>
          <w:szCs w:val="36"/>
        </w:rPr>
        <w:t>2022年11月</w:t>
      </w:r>
    </w:p>
    <w:p>
      <w:pPr>
        <w:jc w:val="center"/>
        <w:rPr>
          <w:rFonts w:ascii="仿宋" w:hAnsi="仿宋" w:eastAsia="仿宋" w:cs="仿宋"/>
          <w:b/>
          <w:color w:val="000000"/>
          <w:sz w:val="21"/>
          <w:szCs w:val="21"/>
        </w:rPr>
      </w:pPr>
    </w:p>
    <w:p>
      <w:pPr>
        <w:pStyle w:val="2"/>
        <w:rPr>
          <w:rFonts w:ascii="仿宋" w:hAnsi="仿宋" w:eastAsia="仿宋" w:cs="仿宋"/>
          <w:sz w:val="21"/>
          <w:szCs w:val="21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jc w:val="center"/>
        <w:rPr>
          <w:rFonts w:asciiTheme="minorEastAsia" w:hAnsiTheme="minorEastAsia" w:eastAsia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sz w:val="30"/>
          <w:szCs w:val="30"/>
        </w:rPr>
        <w:t>文档修订记录</w:t>
      </w:r>
    </w:p>
    <w:tbl>
      <w:tblPr>
        <w:tblStyle w:val="21"/>
        <w:tblW w:w="9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622"/>
        <w:gridCol w:w="33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版本</w:t>
            </w:r>
          </w:p>
        </w:tc>
        <w:tc>
          <w:tcPr>
            <w:tcW w:w="3622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作者</w:t>
            </w:r>
            <w:r>
              <w:rPr>
                <w:rFonts w:ascii="宋体" w:hAnsi="宋体" w:eastAsiaTheme="minorEastAsia"/>
              </w:rPr>
              <w:t>/</w:t>
            </w:r>
            <w:r>
              <w:rPr>
                <w:rFonts w:hint="eastAsia" w:ascii="宋体" w:hAnsi="宋体" w:eastAsiaTheme="minorEastAsia"/>
              </w:rPr>
              <w:t>修改者</w:t>
            </w:r>
          </w:p>
        </w:tc>
        <w:tc>
          <w:tcPr>
            <w:tcW w:w="3367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审核人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  <w:r>
              <w:rPr>
                <w:rFonts w:hint="eastAsia" w:ascii="宋体" w:hAnsi="宋体" w:eastAsiaTheme="minorEastAsia"/>
              </w:rPr>
              <w:t>1</w:t>
            </w:r>
            <w:r>
              <w:rPr>
                <w:rFonts w:ascii="宋体" w:hAnsi="宋体" w:eastAsiaTheme="minorEastAsia"/>
              </w:rPr>
              <w:t>.0</w:t>
            </w:r>
          </w:p>
        </w:tc>
        <w:tc>
          <w:tcPr>
            <w:tcW w:w="3622" w:type="dxa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ascii="宋体" w:hAnsi="宋体" w:eastAsiaTheme="minorEastAsia"/>
              </w:rPr>
              <w:t>魏建章</w:t>
            </w:r>
          </w:p>
        </w:tc>
        <w:tc>
          <w:tcPr>
            <w:tcW w:w="3367" w:type="dxa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</w:tbl>
    <w:p>
      <w:pPr>
        <w:rPr>
          <w:rFonts w:ascii="仿宋" w:hAnsi="仿宋" w:eastAsia="仿宋" w:cs="仿宋"/>
          <w:sz w:val="21"/>
          <w:szCs w:val="21"/>
        </w:rPr>
      </w:pPr>
    </w:p>
    <w:p>
      <w:pPr>
        <w:widowControl/>
        <w:jc w:val="left"/>
        <w:rPr>
          <w:rFonts w:ascii="仿宋" w:hAnsi="仿宋" w:eastAsia="仿宋" w:cs="仿宋"/>
          <w:b/>
          <w:bCs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1"/>
          <w:szCs w:val="21"/>
        </w:rPr>
        <w:br w:type="page"/>
      </w:r>
    </w:p>
    <w:sdt>
      <w:sdtPr>
        <w:rPr>
          <w:rFonts w:hint="eastAsia" w:ascii="仿宋" w:hAnsi="仿宋" w:eastAsia="仿宋" w:cs="仿宋"/>
          <w:sz w:val="21"/>
          <w:szCs w:val="21"/>
        </w:rPr>
        <w:id w:val="147470690"/>
        <w:docPartObj>
          <w:docPartGallery w:val="Table of Contents"/>
          <w:docPartUnique/>
        </w:docPartObj>
      </w:sdtPr>
      <w:sdtEndPr>
        <w:rPr>
          <w:rFonts w:hint="eastAsia" w:ascii="仿宋" w:hAnsi="仿宋" w:eastAsia="仿宋" w:cs="仿宋"/>
          <w:sz w:val="21"/>
          <w:szCs w:val="21"/>
        </w:rPr>
      </w:sdtEndPr>
      <w:sdtContent>
        <w:p>
          <w:pPr>
            <w:jc w:val="center"/>
            <w:rPr>
              <w:rFonts w:cs="仿宋" w:asciiTheme="minorEastAsia" w:hAnsiTheme="minorEastAsia" w:eastAsiaTheme="minorEastAsia"/>
              <w:b/>
              <w:sz w:val="28"/>
              <w:szCs w:val="28"/>
            </w:rPr>
          </w:pPr>
          <w:r>
            <w:rPr>
              <w:rFonts w:hint="eastAsia" w:cs="仿宋" w:asciiTheme="minorEastAsia" w:hAnsiTheme="minorEastAsia" w:eastAsiaTheme="minorEastAsia"/>
              <w:b/>
              <w:sz w:val="28"/>
              <w:szCs w:val="28"/>
            </w:rPr>
            <w:t>目 录</w:t>
          </w:r>
        </w:p>
        <w:p>
          <w:pPr>
            <w:pStyle w:val="15"/>
            <w:tabs>
              <w:tab w:val="right" w:leader="dot" w:pos="8306"/>
            </w:tabs>
          </w:pPr>
          <w:bookmarkStart w:id="50" w:name="_GoBack"/>
          <w:bookmarkEnd w:id="50"/>
          <w:r>
            <w:fldChar w:fldCharType="begin"/>
          </w:r>
          <w:r>
            <w:instrText xml:space="preserve">TOC \o "1-6"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_Toc27610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1. </w:t>
          </w:r>
          <w:r>
            <w:rPr>
              <w:rFonts w:hint="eastAsia" w:ascii="仿宋" w:hAnsi="仿宋" w:eastAsia="仿宋" w:cs="仿宋"/>
              <w:szCs w:val="21"/>
            </w:rPr>
            <w:t>招标项目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-“投标客户端”编制投标文件</w:t>
          </w:r>
          <w:r>
            <w:tab/>
          </w:r>
          <w:r>
            <w:fldChar w:fldCharType="begin"/>
          </w:r>
          <w:r>
            <w:instrText xml:space="preserve"> PAGEREF _Toc27610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_Toc13927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1.1 </w:t>
          </w:r>
          <w:r>
            <w:rPr>
              <w:rFonts w:hint="eastAsia" w:ascii="仿宋" w:hAnsi="仿宋" w:eastAsia="仿宋" w:cs="仿宋"/>
              <w:szCs w:val="21"/>
            </w:rPr>
            <w:t>投标文件管理</w:t>
          </w:r>
          <w:r>
            <w:tab/>
          </w:r>
          <w:r>
            <w:fldChar w:fldCharType="begin"/>
          </w:r>
          <w:r>
            <w:instrText xml:space="preserve"> PAGEREF _Toc13927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_Toc27960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1.1.1 </w:t>
          </w:r>
          <w:r>
            <w:rPr>
              <w:rFonts w:hint="eastAsia" w:ascii="仿宋" w:hAnsi="仿宋" w:eastAsia="仿宋" w:cs="仿宋"/>
              <w:szCs w:val="21"/>
            </w:rPr>
            <w:t>客户端编制投标文件</w:t>
          </w:r>
          <w:r>
            <w:tab/>
          </w:r>
          <w:r>
            <w:fldChar w:fldCharType="begin"/>
          </w:r>
          <w:r>
            <w:instrText xml:space="preserve"> PAGEREF _Toc27960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_Toc29319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</w:t>
          </w:r>
          <w:r>
            <w:rPr>
              <w:rFonts w:hint="eastAsia" w:ascii="仿宋" w:hAnsi="仿宋" w:eastAsia="仿宋" w:cs="仿宋"/>
              <w:szCs w:val="21"/>
            </w:rPr>
            <w:t>.4.1.1投标客户端首页</w:t>
          </w:r>
          <w:r>
            <w:tab/>
          </w:r>
          <w:r>
            <w:fldChar w:fldCharType="begin"/>
          </w:r>
          <w:r>
            <w:instrText xml:space="preserve"> PAGEREF _Toc29319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_Toc24001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</w:t>
          </w:r>
          <w:r>
            <w:rPr>
              <w:rFonts w:hint="eastAsia" w:ascii="仿宋" w:hAnsi="仿宋" w:eastAsia="仿宋" w:cs="仿宋"/>
              <w:szCs w:val="21"/>
            </w:rPr>
            <w:t>.4.1.2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投</w:t>
          </w:r>
          <w:r>
            <w:rPr>
              <w:rFonts w:hint="eastAsia" w:ascii="仿宋" w:hAnsi="仿宋" w:eastAsia="仿宋" w:cs="仿宋"/>
              <w:szCs w:val="21"/>
            </w:rPr>
            <w:t>标文件（整本文件）</w:t>
          </w:r>
          <w:r>
            <w:tab/>
          </w:r>
          <w:r>
            <w:fldChar w:fldCharType="begin"/>
          </w:r>
          <w:r>
            <w:instrText xml:space="preserve"> PAGEREF _Toc24001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_Toc339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</w:t>
          </w:r>
          <w:r>
            <w:rPr>
              <w:rFonts w:hint="eastAsia" w:ascii="仿宋" w:hAnsi="仿宋" w:eastAsia="仿宋" w:cs="仿宋"/>
              <w:szCs w:val="21"/>
            </w:rPr>
            <w:t>.4.1.2.1主pdf签章</w:t>
          </w:r>
          <w:r>
            <w:tab/>
          </w:r>
          <w:r>
            <w:fldChar w:fldCharType="begin"/>
          </w:r>
          <w:r>
            <w:instrText xml:space="preserve"> PAGEREF _Toc339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_Toc8914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2.4.1.2.2条款关联</w:t>
          </w:r>
          <w:r>
            <w:tab/>
          </w:r>
          <w:r>
            <w:fldChar w:fldCharType="begin"/>
          </w:r>
          <w:r>
            <w:instrText xml:space="preserve"> PAGEREF _Toc8914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_Toc9701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2.4.1.2.3生成投标文件</w:t>
          </w:r>
          <w:r>
            <w:tab/>
          </w:r>
          <w:r>
            <w:fldChar w:fldCharType="begin"/>
          </w:r>
          <w:r>
            <w:instrText xml:space="preserve"> PAGEREF _Toc9701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_Toc364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 2.4重新生成密码</w:t>
          </w:r>
          <w:r>
            <w:tab/>
          </w:r>
          <w:r>
            <w:fldChar w:fldCharType="begin"/>
          </w:r>
          <w:r>
            <w:instrText xml:space="preserve"> PAGEREF _Toc364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_Toc11848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2.</w:t>
          </w:r>
          <w:r>
            <w:rPr>
              <w:rFonts w:hint="eastAsia" w:ascii="仿宋" w:hAnsi="仿宋" w:eastAsia="仿宋" w:cs="仿宋"/>
              <w:szCs w:val="21"/>
            </w:rPr>
            <w:t>4.1.3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投标</w:t>
          </w:r>
          <w:r>
            <w:rPr>
              <w:rFonts w:hint="eastAsia" w:ascii="仿宋" w:hAnsi="仿宋" w:eastAsia="仿宋" w:cs="仿宋"/>
              <w:szCs w:val="21"/>
            </w:rPr>
            <w:t>文件（商技价）</w:t>
          </w:r>
          <w:r>
            <w:tab/>
          </w:r>
          <w:r>
            <w:fldChar w:fldCharType="begin"/>
          </w:r>
          <w:r>
            <w:instrText xml:space="preserve"> PAGEREF _Toc11848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_Toc24655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2.4.1.3.1 商务文件</w:t>
          </w:r>
          <w:r>
            <w:tab/>
          </w:r>
          <w:r>
            <w:fldChar w:fldCharType="begin"/>
          </w:r>
          <w:r>
            <w:instrText xml:space="preserve"> PAGEREF _Toc24655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_Toc31634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2.4.1.3.2 技术文件</w:t>
          </w:r>
          <w:r>
            <w:tab/>
          </w:r>
          <w:r>
            <w:fldChar w:fldCharType="begin"/>
          </w:r>
          <w:r>
            <w:instrText xml:space="preserve"> PAGEREF _Toc31634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_Toc17456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2.4.1.3.3 价格文件</w:t>
          </w:r>
          <w:r>
            <w:tab/>
          </w:r>
          <w:r>
            <w:fldChar w:fldCharType="begin"/>
          </w:r>
          <w:r>
            <w:instrText xml:space="preserve"> PAGEREF _Toc17456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_Toc20439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2.4.1.3.4 条款关联</w:t>
          </w:r>
          <w:r>
            <w:tab/>
          </w:r>
          <w:r>
            <w:fldChar w:fldCharType="begin"/>
          </w:r>
          <w:r>
            <w:instrText xml:space="preserve"> PAGEREF _Toc20439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_Toc7762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2.4.1.3.5 生成投标文件</w:t>
          </w:r>
          <w:r>
            <w:tab/>
          </w:r>
          <w:r>
            <w:fldChar w:fldCharType="begin"/>
          </w:r>
          <w:r>
            <w:instrText xml:space="preserve"> PAGEREF _Toc7762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_Toc14526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2.4.1.3.6 投保文件解密验证</w:t>
          </w:r>
          <w:r>
            <w:tab/>
          </w:r>
          <w:r>
            <w:fldChar w:fldCharType="begin"/>
          </w:r>
          <w:r>
            <w:instrText xml:space="preserve"> PAGEREF _Toc14526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_Toc2386 </w:instrText>
          </w:r>
          <w:r>
            <w:fldChar w:fldCharType="separate"/>
          </w:r>
          <w:r>
            <w:rPr>
              <w:rFonts w:hint="eastAsia" w:ascii="仿宋" w:hAnsi="仿宋" w:eastAsia="仿宋" w:cs="仿宋"/>
              <w:szCs w:val="21"/>
            </w:rPr>
            <w:t>2.4.1.3.7 PDF文件签章</w:t>
          </w:r>
          <w:r>
            <w:tab/>
          </w:r>
          <w:r>
            <w:fldChar w:fldCharType="begin"/>
          </w:r>
          <w:r>
            <w:instrText xml:space="preserve"> PAGEREF _Toc2386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  <w:p>
          <w:pPr>
            <w:rPr>
              <w:rFonts w:ascii="仿宋" w:hAnsi="仿宋" w:eastAsia="仿宋" w:cs="仿宋"/>
              <w:sz w:val="21"/>
              <w:szCs w:val="21"/>
            </w:rPr>
          </w:pPr>
        </w:p>
      </w:sdtContent>
    </w:sdt>
    <w:p>
      <w:pPr>
        <w:pStyle w:val="2"/>
        <w:numPr>
          <w:ilvl w:val="0"/>
          <w:numId w:val="1"/>
        </w:numPr>
        <w:ind w:left="357" w:hanging="357"/>
        <w:rPr>
          <w:rFonts w:ascii="仿宋" w:hAnsi="仿宋" w:eastAsia="仿宋" w:cs="仿宋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 w:cs="仿宋"/>
          <w:sz w:val="21"/>
          <w:szCs w:val="21"/>
        </w:rPr>
      </w:pPr>
      <w:bookmarkStart w:id="0" w:name="_Toc30192"/>
      <w:bookmarkStart w:id="1" w:name="_Toc10878"/>
      <w:bookmarkStart w:id="2" w:name="_Toc25942"/>
      <w:bookmarkStart w:id="3" w:name="_Toc27610"/>
      <w:r>
        <w:rPr>
          <w:rFonts w:hint="eastAsia" w:ascii="仿宋" w:hAnsi="仿宋" w:eastAsia="仿宋" w:cs="仿宋"/>
          <w:sz w:val="21"/>
          <w:szCs w:val="21"/>
        </w:rPr>
        <w:t>招标项目</w:t>
      </w:r>
      <w:bookmarkEnd w:id="0"/>
      <w:bookmarkEnd w:id="1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-“投标客户端”编制投标文件</w:t>
      </w:r>
      <w:bookmarkEnd w:id="2"/>
      <w:bookmarkEnd w:id="3"/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4" w:name="_购买文件_1"/>
      <w:bookmarkEnd w:id="4"/>
      <w:bookmarkStart w:id="5" w:name="_投标人报名与邀请回执_1"/>
      <w:bookmarkEnd w:id="5"/>
      <w:bookmarkStart w:id="6" w:name="_Toc26142"/>
      <w:bookmarkStart w:id="7" w:name="_Toc6332"/>
      <w:bookmarkStart w:id="8" w:name="_Toc28986"/>
      <w:bookmarkStart w:id="9" w:name="_Toc13927"/>
      <w:r>
        <w:rPr>
          <w:rFonts w:hint="eastAsia" w:ascii="仿宋" w:hAnsi="仿宋" w:eastAsia="仿宋" w:cs="仿宋"/>
          <w:sz w:val="21"/>
          <w:szCs w:val="21"/>
        </w:rPr>
        <w:t>投标文件管理</w:t>
      </w:r>
      <w:bookmarkEnd w:id="6"/>
      <w:bookmarkEnd w:id="7"/>
      <w:bookmarkEnd w:id="8"/>
      <w:bookmarkEnd w:id="9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0" w:name="_Toc23860"/>
      <w:bookmarkStart w:id="11" w:name="_Toc6494"/>
      <w:bookmarkStart w:id="12" w:name="_Toc10321"/>
      <w:bookmarkStart w:id="13" w:name="_Toc27960"/>
      <w:r>
        <w:rPr>
          <w:rFonts w:hint="eastAsia" w:ascii="仿宋" w:hAnsi="仿宋" w:eastAsia="仿宋" w:cs="仿宋"/>
          <w:sz w:val="21"/>
          <w:szCs w:val="21"/>
        </w:rPr>
        <w:t>客户端编制投标文件</w:t>
      </w:r>
      <w:bookmarkEnd w:id="10"/>
      <w:bookmarkEnd w:id="11"/>
      <w:bookmarkEnd w:id="12"/>
      <w:bookmarkEnd w:id="13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bookmarkStart w:id="14" w:name="_绑定CA证书"/>
      <w:bookmarkEnd w:id="14"/>
      <w:r>
        <w:rPr>
          <w:rFonts w:hint="eastAsia" w:ascii="仿宋" w:hAnsi="仿宋" w:eastAsia="仿宋" w:cs="仿宋"/>
          <w:sz w:val="21"/>
          <w:szCs w:val="21"/>
        </w:rPr>
        <w:t>投标客户端适用于参与投标的投标人/供应商制作投标文件时使用，主要功能包括查看文件制作记录、创建投标文件、创建资格申请文件、重新生成密码、投标文件解密验证以及pdf文件签章。</w:t>
      </w: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5" w:name="_Toc25973"/>
      <w:bookmarkStart w:id="16" w:name="_Toc6708"/>
      <w:bookmarkStart w:id="17" w:name="_Toc29319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.4.1.1投标客户端首页</w:t>
      </w:r>
      <w:bookmarkEnd w:id="15"/>
      <w:bookmarkEnd w:id="16"/>
      <w:bookmarkEnd w:id="17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78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A：查看客户端制作文件记录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B：输入项目信息，查询制作文件记录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C：客户端制作所有的投标文件制作记录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D：点击语言，可实现中英文切换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8" w:name="_Toc3180"/>
      <w:bookmarkStart w:id="19" w:name="_Toc18630"/>
      <w:bookmarkStart w:id="20" w:name="_Toc24001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.4.1.2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</w:t>
      </w:r>
      <w:r>
        <w:rPr>
          <w:rFonts w:hint="eastAsia" w:ascii="仿宋" w:hAnsi="仿宋" w:eastAsia="仿宋" w:cs="仿宋"/>
          <w:sz w:val="21"/>
          <w:szCs w:val="21"/>
        </w:rPr>
        <w:t>标文件（整本文件）</w:t>
      </w:r>
      <w:bookmarkEnd w:id="18"/>
      <w:bookmarkEnd w:id="19"/>
      <w:bookmarkEnd w:id="20"/>
    </w:p>
    <w:p>
      <w:pPr>
        <w:spacing w:line="360" w:lineRule="auto"/>
        <w:ind w:firstLine="420" w:firstLineChars="20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投标人/供应商点击创建投标文件可跳转到文件选择界面(图2.4.1-1)，其中创建资格申请文件制作过程与招标文件（整本文件）一致。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598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A：点击【创建投标文件】跳转到选择文件页面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B：选择文件下载阶段所下载的格式为ebid的文件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C：点击创建跳转到招标文件制作文件制作界面 ，此处以整本文件为例，商技价文件与整本文件制作步骤一致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40868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7960" cy="3253105"/>
            <wp:effectExtent l="0" t="0" r="5080" b="8255"/>
            <wp:docPr id="10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5"/>
                    <pic:cNvPicPr>
                      <a:picLocks noChangeAspect="1"/>
                    </pic:cNvPicPr>
                  </pic:nvPicPr>
                  <pic:blipFill>
                    <a:blip r:embed="rId10"/>
                    <a:srcRect b="404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5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drawing>
          <wp:inline distT="0" distB="0" distL="0" distR="0">
            <wp:extent cx="5274310" cy="339598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A：整本文件制作的详细信息，当前页面可完成表单编辑（招标业务经理制作的项目专用表单）、递交主文件签章以及附件上传的操作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条款关联，当前项目评标条款与招标文件的关联点，根据招标业务经理制作文件时选择的是否关联条款决定是否操作，若招标业务经理选择需要关联，由投标人按照具体文件具体分析，若招标业务经理选择不关联条款，则该步骤无需操作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C：生成投标文件，文件制作完成以及条款关联完成后可以生成投标文件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D：项目专用表单，点击后页面显示招标业务经理制作的专用表单，以及表单说明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E：主PDF签章，点击上传见文件的按钮，点击文件上传需选择文件下载阶段下载的pdf格式的文件进行签章页面跳转到文件操作见面 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F：附件上传，投标人/供应商根据需求上传所需要的附件，点击后跳转到附件上传页面 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F-1：上传文件，从本地上传文件格式不限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F-2：确认完成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G：投标人根据页面字段显示填写需填写的字段（此处表单为单行表单，多行表单见商技价文件</w: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bCs/>
          <w:sz w:val="21"/>
          <w:szCs w:val="21"/>
        </w:rPr>
        <w:instrText xml:space="preserve">HYPERLINK </w:instrText>
      </w:r>
      <w:r>
        <w:rPr>
          <w:rFonts w:ascii="仿宋" w:hAnsi="仿宋" w:eastAsia="仿宋" w:cs="仿宋"/>
          <w:bCs/>
          <w:sz w:val="21"/>
          <w:szCs w:val="21"/>
        </w:rPr>
        <w:instrText xml:space="preserve"> \l "_2.4.1.3_价格文件" \o "</w:instrText>
      </w:r>
      <w:r>
        <w:rPr>
          <w:rFonts w:hint="eastAsia" w:ascii="仿宋" w:hAnsi="仿宋" w:eastAsia="仿宋" w:cs="仿宋"/>
          <w:bCs/>
          <w:sz w:val="21"/>
          <w:szCs w:val="21"/>
        </w:rPr>
        <w:instrText xml:space="preserve">多行表单</w:instrText>
      </w:r>
      <w:r>
        <w:rPr>
          <w:rFonts w:ascii="仿宋" w:hAnsi="仿宋" w:eastAsia="仿宋" w:cs="仿宋"/>
          <w:bCs/>
          <w:sz w:val="21"/>
          <w:szCs w:val="21"/>
        </w:rPr>
        <w:instrText xml:space="preserve">"</w:instrTex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bCs/>
          <w:sz w:val="21"/>
          <w:szCs w:val="21"/>
        </w:rPr>
        <w:t>2.4.1.3 价格文件</w: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bCs/>
          <w:sz w:val="21"/>
          <w:szCs w:val="21"/>
        </w:rPr>
        <w:t>）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H：点击确认完成需要使用ca认证，确认完成后可进行主pdf签章的操作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I：点击【返回列表】，返回客户端首页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1" w:name="_Toc22080"/>
      <w:bookmarkStart w:id="22" w:name="_Toc339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.4.1.2.1主pdf签章</w:t>
      </w:r>
      <w:bookmarkEnd w:id="21"/>
      <w:bookmarkEnd w:id="22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投标人/供应商完成表单后，可进行主pdf签章的操作，点击主pdf跳转到图（2.4.1-3），由投标人/供应商上传文件。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21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6055" cy="3384550"/>
            <wp:effectExtent l="0" t="0" r="6985" b="1397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A：合并主pdf与专用表单的数据，专用表单的数据显示在pdf文件的末尾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B：pdf文件签章，点击后跳转到pdf签章页面 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B-1：点击【单页签章】，页面弹出ca认证，投标人/供应商完成认证后可使用鼠标拖拽盖章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B-2：点击【多页签章】，页面弹出选择起止页的弹框，输入起止页并完成ca认证后可使用鼠标拖拽盖章，盖章完成后会在对应页面的同一位置加盖签章</w:t>
      </w:r>
    </w:p>
    <w:p>
      <w:pPr>
        <w:tabs>
          <w:tab w:val="left" w:pos="6393"/>
        </w:tabs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B-3：点击【保存】，保存当前签章文件</w:t>
      </w:r>
    </w:p>
    <w:p>
      <w:pPr>
        <w:tabs>
          <w:tab w:val="left" w:pos="6393"/>
        </w:tabs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B-4：签章pdf翻页功能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C：点击【删除】删除主pdf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D：点击【查看】查看主pdf文件内容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E：点击【确认完成】，完成主pdf签章，签章完成后可以操作条款关联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3" w:name="_Toc23372"/>
      <w:bookmarkStart w:id="24" w:name="_Toc8914"/>
      <w:bookmarkStart w:id="25" w:name="_3.4.1.2.2条款关联"/>
      <w:r>
        <w:rPr>
          <w:rFonts w:hint="eastAsia" w:ascii="仿宋" w:hAnsi="仿宋" w:eastAsia="仿宋" w:cs="仿宋"/>
          <w:sz w:val="21"/>
          <w:szCs w:val="21"/>
        </w:rPr>
        <w:t>2.4.1.2.2条款关联</w:t>
      </w:r>
      <w:bookmarkEnd w:id="23"/>
      <w:bookmarkEnd w:id="24"/>
    </w:p>
    <w:bookmarkEnd w:id="25"/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865" cy="3235325"/>
            <wp:effectExtent l="0" t="0" r="3175" b="10795"/>
            <wp:docPr id="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A：条款关联功能，点击后跳转到条款关联页面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B：下拉选择需要关联条款的文件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C：点击【开启关联】，投标人/供应商可选择条款关联到具体的页码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D：已关联或者无需关联的条款展示为图中样式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E：该样式为需要关联的条款，招标业务经理需先点击条款再在右侧文件中点击需要关联的页码（右侧文件内容支持页面跳转以及滚动两种方式切换页码）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F：显示选中的条款的描述信息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G：显示该条款所关联的页码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H：点击【确认完成】后，可以生成投标文件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6" w:name="_Toc2176"/>
      <w:bookmarkStart w:id="27" w:name="_Toc9701"/>
      <w:bookmarkStart w:id="28" w:name="_3.4.1.2.3生成投标文件"/>
      <w:r>
        <w:rPr>
          <w:rFonts w:hint="eastAsia" w:ascii="仿宋" w:hAnsi="仿宋" w:eastAsia="仿宋" w:cs="仿宋"/>
          <w:sz w:val="21"/>
          <w:szCs w:val="21"/>
        </w:rPr>
        <w:t>2.4.1.2.3生成投标文件</w:t>
      </w:r>
      <w:bookmarkEnd w:id="26"/>
      <w:bookmarkEnd w:id="27"/>
    </w:p>
    <w:bookmarkEnd w:id="28"/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690" cy="3216275"/>
            <wp:effectExtent l="0" t="0" r="6350" b="14605"/>
            <wp:docPr id="7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19"/>
                    <pic:cNvPicPr>
                      <a:picLocks noChangeAspect="1"/>
                    </pic:cNvPicPr>
                  </pic:nvPicPr>
                  <pic:blipFill>
                    <a:blip r:embed="rId15"/>
                    <a:srcRect b="45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2405" cy="3216910"/>
            <wp:effectExtent l="0" t="0" r="635" b="1397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rcRect b="537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1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A：点击投标文件，页面跳转到设置信封密码信息界面 ，密码设置完成后，需再次点击【生成投标文件】并进行ca认证，才能生成投标文件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B：点击【重置密码】，页面跳转到设置信封密码界面 ，重置密码后，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需再次点击【生成投标文件】并进行ca认证，密码能够生效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C：输入信封密码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D：确认信封密码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E：点击【确定】完成信封密码设置，点击【取消】返回生成投标文件页面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9" w:name="_Toc24590"/>
      <w:bookmarkStart w:id="30" w:name="_Toc364"/>
      <w:r>
        <w:rPr>
          <w:rFonts w:hint="eastAsia" w:ascii="仿宋" w:hAnsi="仿宋" w:eastAsia="仿宋" w:cs="仿宋"/>
          <w:sz w:val="21"/>
          <w:szCs w:val="21"/>
        </w:rPr>
        <w:t>2.4.1 2.4重新生成密码</w:t>
      </w:r>
      <w:bookmarkEnd w:id="29"/>
      <w:bookmarkEnd w:id="30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36595"/>
            <wp:effectExtent l="0" t="0" r="6985" b="9525"/>
            <wp:docPr id="7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rcRect l="-289" r="289" b="449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A：重新生成信封密码，点击后跳转到 ，适用于投标问价制作完成后，投标人/供应商忘记密码或者需要更改信封密码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B：选择需要生成密码的投标文件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C：输入ca密码，完成ca认证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D：点击生成解密密码，在本地文件夹生成新的密码文件，格式为txt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31" w:name="_Toc16214"/>
      <w:bookmarkStart w:id="32" w:name="_Toc4942"/>
      <w:bookmarkStart w:id="33" w:name="_Toc11848"/>
      <w:r>
        <w:rPr>
          <w:rFonts w:ascii="仿宋" w:hAnsi="仿宋" w:eastAsia="仿宋" w:cs="仿宋"/>
          <w:sz w:val="21"/>
          <w:szCs w:val="21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4.1.3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</w:t>
      </w:r>
      <w:r>
        <w:rPr>
          <w:rFonts w:hint="eastAsia" w:ascii="仿宋" w:hAnsi="仿宋" w:eastAsia="仿宋" w:cs="仿宋"/>
          <w:sz w:val="21"/>
          <w:szCs w:val="21"/>
        </w:rPr>
        <w:t>文件（商技价）</w:t>
      </w:r>
      <w:bookmarkEnd w:id="31"/>
      <w:bookmarkEnd w:id="32"/>
      <w:bookmarkEnd w:id="33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商技价文件包含商务文件、技术文件以及价格文件3份文件，投标人/供应商需同时完成三分文件的制作，递交文件时一并递交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34" w:name="_Toc9559"/>
      <w:bookmarkStart w:id="35" w:name="_Toc24655"/>
      <w:r>
        <w:rPr>
          <w:rFonts w:hint="eastAsia" w:ascii="仿宋" w:hAnsi="仿宋" w:eastAsia="仿宋" w:cs="仿宋"/>
          <w:sz w:val="21"/>
          <w:szCs w:val="21"/>
        </w:rPr>
        <w:t>2.4.1.3.1 商务文件</w:t>
      </w:r>
      <w:bookmarkEnd w:id="34"/>
      <w:bookmarkEnd w:id="35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28975"/>
            <wp:effectExtent l="0" t="0" r="6985" b="1905"/>
            <wp:docPr id="5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rcRect b="472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9230" cy="3252470"/>
            <wp:effectExtent l="0" t="0" r="3810" b="8890"/>
            <wp:docPr id="5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rcRect b="38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A：制作商务文件，商务文件包含表单（若有）和主pdf两部分，表单根据实际项目需求，由招标业务经理添加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B：商务文件的主pdf,需投标人上传，上传文件后须完成签章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C：上传附件，文件类型不限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D：上传招标文件主PDF，文件支持合并表单数据（若有表单）签章、删除、和查看的操作，签章完成后需确认完成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E：确认完成，确认完成后方可进行下一阶段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36" w:name="_Toc1717"/>
      <w:bookmarkStart w:id="37" w:name="_Toc31634"/>
      <w:r>
        <w:rPr>
          <w:rFonts w:hint="eastAsia" w:ascii="仿宋" w:hAnsi="仿宋" w:eastAsia="仿宋" w:cs="仿宋"/>
          <w:sz w:val="21"/>
          <w:szCs w:val="21"/>
        </w:rPr>
        <w:t>2.4.1.3.2 技术文件</w:t>
      </w:r>
      <w:bookmarkEnd w:id="36"/>
      <w:bookmarkEnd w:id="37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13735"/>
            <wp:effectExtent l="0" t="0" r="6985" b="1905"/>
            <wp:docPr id="6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rcRect b="517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7960" cy="3270885"/>
            <wp:effectExtent l="0" t="0" r="5080" b="5715"/>
            <wp:docPr id="6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rcRect b="315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7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A：制作技术文件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B：技术文件的主pdf,需投标人上传，上传文件后须完成签章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B-1：上传招标文件主PDF，文件支持签章、删除、和查看的操作，签章完成后需确认完成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C：上传附件，文件类型不限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D：确认完成，确认完成后方可进行下一阶段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38" w:name="_2.4.1.3_价格文件"/>
      <w:bookmarkEnd w:id="38"/>
      <w:bookmarkStart w:id="39" w:name="_3.4.1.3.3_价格文件"/>
      <w:bookmarkStart w:id="40" w:name="_Toc2990"/>
      <w:bookmarkStart w:id="41" w:name="_Toc17456"/>
      <w:r>
        <w:rPr>
          <w:rFonts w:hint="eastAsia" w:ascii="仿宋" w:hAnsi="仿宋" w:eastAsia="仿宋" w:cs="仿宋"/>
          <w:sz w:val="21"/>
          <w:szCs w:val="21"/>
        </w:rPr>
        <w:t>2.4.1.3.3 价格文件</w:t>
      </w:r>
      <w:bookmarkEnd w:id="39"/>
      <w:bookmarkEnd w:id="40"/>
      <w:bookmarkEnd w:id="41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13735"/>
            <wp:effectExtent l="0" t="0" r="6985" b="1905"/>
            <wp:docPr id="7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rcRect b="517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51835"/>
            <wp:effectExtent l="0" t="0" r="6985" b="9525"/>
            <wp:docPr id="7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0"/>
                    <pic:cNvPicPr>
                      <a:picLocks noChangeAspect="1"/>
                    </pic:cNvPicPr>
                  </pic:nvPicPr>
                  <pic:blipFill>
                    <a:blip r:embed="rId23"/>
                    <a:srcRect b="404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A：点击制作价格文件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B：项目专用表单，点击后页面显示招标业务经理制作的专用表单，以及表单说明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B-1：修改表单数据，选中一行点击修改或者双击表单的某一行即可编辑表单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B-2：导出当前表单数据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B-3：根据表单模板，导入数据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C：技术文件的主pdf,需投标人上传，上传文件后须完成签章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C-1：上传招标文件主PDF，文件支持合并表单数据、签章、删除、和查看的操作，签章完成后需确认完成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D：上传附件，文件类型不限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E：确认完成，确认完成后方可进行下一阶段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42" w:name="_Toc6139"/>
      <w:bookmarkStart w:id="43" w:name="_Toc20439"/>
      <w:r>
        <w:rPr>
          <w:rFonts w:hint="eastAsia" w:ascii="仿宋" w:hAnsi="仿宋" w:eastAsia="仿宋" w:cs="仿宋"/>
          <w:sz w:val="21"/>
          <w:szCs w:val="21"/>
        </w:rPr>
        <w:t>2.4.1.3.4 条款关联</w:t>
      </w:r>
      <w:bookmarkEnd w:id="42"/>
      <w:bookmarkEnd w:id="43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商技价文件条款关联与整本文件操作一致，见整本文件条款关联</w:t>
      </w:r>
      <w:r>
        <w:fldChar w:fldCharType="begin"/>
      </w:r>
      <w:r>
        <w:instrText xml:space="preserve"> HYPERLINK \l "_3.4.1.2.2条款关联"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2.4.1.2条款关联</w:t>
      </w:r>
      <w:r>
        <w:rPr>
          <w:rStyle w:val="24"/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44" w:name="_Toc7708"/>
      <w:bookmarkStart w:id="45" w:name="_Toc7762"/>
      <w:r>
        <w:rPr>
          <w:rFonts w:hint="eastAsia" w:ascii="仿宋" w:hAnsi="仿宋" w:eastAsia="仿宋" w:cs="仿宋"/>
          <w:sz w:val="21"/>
          <w:szCs w:val="21"/>
        </w:rPr>
        <w:t>2.4.1.3.5 生成投标文件</w:t>
      </w:r>
      <w:bookmarkEnd w:id="44"/>
      <w:bookmarkEnd w:id="45"/>
    </w:p>
    <w:p>
      <w:pPr>
        <w:spacing w:line="360" w:lineRule="auto"/>
        <w:ind w:firstLine="420" w:firstLineChars="200"/>
        <w:rPr>
          <w:rStyle w:val="24"/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商技价文件生成投标文件与整本文件操作一致，见整本文件生成投标文件</w:t>
      </w:r>
      <w:r>
        <w:rPr>
          <w:rFonts w:hint="eastAsia" w:ascii="仿宋" w:hAnsi="仿宋" w:eastAsia="仿宋" w:cs="仿宋"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sz w:val="21"/>
          <w:szCs w:val="21"/>
        </w:rPr>
        <w:instrText xml:space="preserve"> HYPERLINK \l "_3.4.1.2.3生成投标文件" </w:instrText>
      </w:r>
      <w:r>
        <w:rPr>
          <w:rFonts w:hint="eastAsia" w:ascii="仿宋" w:hAnsi="仿宋" w:eastAsia="仿宋" w:cs="仿宋"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2.4.1.3生成投标文件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46" w:name="_Toc21642"/>
      <w:bookmarkStart w:id="47" w:name="_Toc14526"/>
      <w:r>
        <w:rPr>
          <w:rFonts w:hint="eastAsia" w:ascii="仿宋" w:hAnsi="仿宋" w:eastAsia="仿宋" w:cs="仿宋"/>
          <w:sz w:val="21"/>
          <w:szCs w:val="21"/>
        </w:rPr>
        <w:t>2.4.1.3.6 投保文件解密验证</w:t>
      </w:r>
      <w:bookmarkEnd w:id="46"/>
      <w:bookmarkEnd w:id="47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51835"/>
            <wp:effectExtent l="0" t="0" r="6985" b="9525"/>
            <wp:docPr id="7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12"/>
                    <pic:cNvPicPr>
                      <a:picLocks noChangeAspect="1"/>
                    </pic:cNvPicPr>
                  </pic:nvPicPr>
                  <pic:blipFill>
                    <a:blip r:embed="rId24"/>
                    <a:srcRect b="404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A：投标文件解密验证，投标人/供应商可根据需求，选择不同的解密方式，验证文件是、是否能够解密成功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B：使用制作文件的ca密码进行解密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C：使用信封密码解密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48" w:name="_Toc14584"/>
      <w:bookmarkStart w:id="49" w:name="_Toc2386"/>
      <w:r>
        <w:rPr>
          <w:rFonts w:hint="eastAsia" w:ascii="仿宋" w:hAnsi="仿宋" w:eastAsia="仿宋" w:cs="仿宋"/>
          <w:sz w:val="21"/>
          <w:szCs w:val="21"/>
        </w:rPr>
        <w:t>2.4.1.3.7 PDF文件签章</w:t>
      </w:r>
      <w:bookmarkEnd w:id="48"/>
      <w:bookmarkEnd w:id="49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388995"/>
            <wp:effectExtent l="0" t="0" r="4445" b="1905"/>
            <wp:docPr id="8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1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A：点击PDF签章按钮，页面跳转到文件签章页面 ，上传本地文件可进行签章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B：单页签章，仅支持投标人/供应商一次签一个章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C：多页签章，支持一次性签多个章，签章前需要输入签章的页码，投标人/供应商签章后会在需签章的页码的相同位置签章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D：点击【保存】，在客户端安装目录下，生成签章文件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E：点击【文件另存为】，投标人/供应商可自行选择文件存储路径</w:t>
      </w:r>
    </w:p>
    <w:p>
      <w:pPr>
        <w:rPr>
          <w:rFonts w:ascii="仿宋" w:hAnsi="仿宋" w:eastAsia="仿宋" w:cs="仿宋"/>
          <w:sz w:val="21"/>
          <w:szCs w:val="21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81634399"/>
      <w:docPartObj>
        <w:docPartGallery w:val="autotext"/>
      </w:docPartObj>
    </w:sdtPr>
    <w:sdtContent>
      <w:p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25399355"/>
      <w:docPartObj>
        <w:docPartGallery w:val="autotext"/>
      </w:docPartObj>
    </w:sdtPr>
    <w:sdtContent>
      <w:p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rPr>
        <w:rFonts w:hint="eastAsia"/>
        <w:szCs w:val="21"/>
        <w:u w:val="single"/>
      </w:rPr>
      <w:t>投标人&amp;供应商使用手册（2022年，</w:t>
    </w:r>
    <w:r>
      <w:rPr>
        <w:szCs w:val="21"/>
        <w:u w:val="single"/>
      </w:rPr>
      <w:t>V</w:t>
    </w:r>
    <w:r>
      <w:rPr>
        <w:rFonts w:hint="eastAsia"/>
        <w:szCs w:val="21"/>
        <w:u w:val="single"/>
      </w:rPr>
      <w:t>1.0）</w:t>
    </w:r>
    <w:r>
      <w:rPr>
        <w:rFonts w:hint="eastAsia"/>
        <w:u w:val="single"/>
      </w:rP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xZWExZGU0NzAzMmZhNzYxMzVkZmNkNjE5NTdjYTEifQ=="/>
  </w:docVars>
  <w:rsids>
    <w:rsidRoot w:val="008E3C90"/>
    <w:rsid w:val="00041EA3"/>
    <w:rsid w:val="00055524"/>
    <w:rsid w:val="00074EFE"/>
    <w:rsid w:val="000D5B89"/>
    <w:rsid w:val="000F57BC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4013D1"/>
    <w:rsid w:val="00420DFA"/>
    <w:rsid w:val="00455C28"/>
    <w:rsid w:val="0048442D"/>
    <w:rsid w:val="004D19E7"/>
    <w:rsid w:val="004F2E27"/>
    <w:rsid w:val="00563BBB"/>
    <w:rsid w:val="006060EE"/>
    <w:rsid w:val="00606995"/>
    <w:rsid w:val="00621A9F"/>
    <w:rsid w:val="006621E7"/>
    <w:rsid w:val="00675342"/>
    <w:rsid w:val="006957BC"/>
    <w:rsid w:val="006A6ABA"/>
    <w:rsid w:val="00734C66"/>
    <w:rsid w:val="007470B0"/>
    <w:rsid w:val="0078093A"/>
    <w:rsid w:val="00785D3D"/>
    <w:rsid w:val="007872A9"/>
    <w:rsid w:val="00797C5F"/>
    <w:rsid w:val="00800463"/>
    <w:rsid w:val="0081367E"/>
    <w:rsid w:val="008347CE"/>
    <w:rsid w:val="00847B03"/>
    <w:rsid w:val="008E2B03"/>
    <w:rsid w:val="008E3C90"/>
    <w:rsid w:val="00902C91"/>
    <w:rsid w:val="00921FA8"/>
    <w:rsid w:val="009243FF"/>
    <w:rsid w:val="00936B24"/>
    <w:rsid w:val="0096039D"/>
    <w:rsid w:val="009944F2"/>
    <w:rsid w:val="00994F5D"/>
    <w:rsid w:val="009A5F37"/>
    <w:rsid w:val="009F7EB4"/>
    <w:rsid w:val="00A01808"/>
    <w:rsid w:val="00A12D24"/>
    <w:rsid w:val="00A16626"/>
    <w:rsid w:val="00A47060"/>
    <w:rsid w:val="00A865E3"/>
    <w:rsid w:val="00AB6E6A"/>
    <w:rsid w:val="00AD4BC3"/>
    <w:rsid w:val="00AE247F"/>
    <w:rsid w:val="00AE423B"/>
    <w:rsid w:val="00B76A63"/>
    <w:rsid w:val="00B913CA"/>
    <w:rsid w:val="00BC2ECD"/>
    <w:rsid w:val="00BD624F"/>
    <w:rsid w:val="00C42588"/>
    <w:rsid w:val="00C43A5D"/>
    <w:rsid w:val="00C97196"/>
    <w:rsid w:val="00CB52F3"/>
    <w:rsid w:val="00D306B5"/>
    <w:rsid w:val="00D67B69"/>
    <w:rsid w:val="00D952C8"/>
    <w:rsid w:val="00DD6E6A"/>
    <w:rsid w:val="00DE1E58"/>
    <w:rsid w:val="00DF1F99"/>
    <w:rsid w:val="00E44C6C"/>
    <w:rsid w:val="00E55D27"/>
    <w:rsid w:val="00E7199E"/>
    <w:rsid w:val="00E82FD0"/>
    <w:rsid w:val="00EE26F1"/>
    <w:rsid w:val="056E319F"/>
    <w:rsid w:val="05C85ADE"/>
    <w:rsid w:val="0CFF6F4B"/>
    <w:rsid w:val="11834D8A"/>
    <w:rsid w:val="12F42131"/>
    <w:rsid w:val="15C2651E"/>
    <w:rsid w:val="165B2968"/>
    <w:rsid w:val="16952DAC"/>
    <w:rsid w:val="16EB25A7"/>
    <w:rsid w:val="17915A4D"/>
    <w:rsid w:val="18BD12B3"/>
    <w:rsid w:val="19CE07A7"/>
    <w:rsid w:val="1A665516"/>
    <w:rsid w:val="1AE463A3"/>
    <w:rsid w:val="1BE83906"/>
    <w:rsid w:val="1CA7148E"/>
    <w:rsid w:val="1D772750"/>
    <w:rsid w:val="1DEF7606"/>
    <w:rsid w:val="1ED15BD3"/>
    <w:rsid w:val="1EE76FA8"/>
    <w:rsid w:val="20686C5A"/>
    <w:rsid w:val="207D1348"/>
    <w:rsid w:val="20F901DA"/>
    <w:rsid w:val="235B3B0A"/>
    <w:rsid w:val="23AC3673"/>
    <w:rsid w:val="276374A6"/>
    <w:rsid w:val="27BA1CA1"/>
    <w:rsid w:val="28996F99"/>
    <w:rsid w:val="29B824CD"/>
    <w:rsid w:val="2AC81660"/>
    <w:rsid w:val="2AD16712"/>
    <w:rsid w:val="2CC65456"/>
    <w:rsid w:val="305818AD"/>
    <w:rsid w:val="306D40D0"/>
    <w:rsid w:val="31B42736"/>
    <w:rsid w:val="32D21A22"/>
    <w:rsid w:val="33814172"/>
    <w:rsid w:val="3595371A"/>
    <w:rsid w:val="362A0CCE"/>
    <w:rsid w:val="36634A2E"/>
    <w:rsid w:val="36FE2918"/>
    <w:rsid w:val="379E46EB"/>
    <w:rsid w:val="37D23591"/>
    <w:rsid w:val="395B1A00"/>
    <w:rsid w:val="3AAD7946"/>
    <w:rsid w:val="3B8223E2"/>
    <w:rsid w:val="3BBF5C24"/>
    <w:rsid w:val="3C7875E3"/>
    <w:rsid w:val="3CF9609A"/>
    <w:rsid w:val="3D510864"/>
    <w:rsid w:val="400E084B"/>
    <w:rsid w:val="4127729C"/>
    <w:rsid w:val="41D055C9"/>
    <w:rsid w:val="442F4B37"/>
    <w:rsid w:val="457642AC"/>
    <w:rsid w:val="472807C5"/>
    <w:rsid w:val="477C12C3"/>
    <w:rsid w:val="48507097"/>
    <w:rsid w:val="4A160B5A"/>
    <w:rsid w:val="4A20699B"/>
    <w:rsid w:val="4A6B311E"/>
    <w:rsid w:val="4C1914DA"/>
    <w:rsid w:val="4F435A37"/>
    <w:rsid w:val="4F7223F7"/>
    <w:rsid w:val="50AA4376"/>
    <w:rsid w:val="51A95A48"/>
    <w:rsid w:val="55A228F1"/>
    <w:rsid w:val="597B1A35"/>
    <w:rsid w:val="5BFA7A21"/>
    <w:rsid w:val="5C52581E"/>
    <w:rsid w:val="5FE952F5"/>
    <w:rsid w:val="60D474E7"/>
    <w:rsid w:val="61144DFB"/>
    <w:rsid w:val="63175414"/>
    <w:rsid w:val="65905173"/>
    <w:rsid w:val="68F87312"/>
    <w:rsid w:val="6BFA0955"/>
    <w:rsid w:val="6E993AB6"/>
    <w:rsid w:val="6ED35F4E"/>
    <w:rsid w:val="70AA64E7"/>
    <w:rsid w:val="717E2995"/>
    <w:rsid w:val="731C6633"/>
    <w:rsid w:val="75836871"/>
    <w:rsid w:val="77C86AA2"/>
    <w:rsid w:val="7B0277DC"/>
    <w:rsid w:val="7B17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33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9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10">
    <w:name w:val="toc 5"/>
    <w:basedOn w:val="1"/>
    <w:next w:val="1"/>
    <w:qFormat/>
    <w:uiPriority w:val="0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Balloon Text"/>
    <w:basedOn w:val="1"/>
    <w:link w:val="32"/>
    <w:qFormat/>
    <w:uiPriority w:val="0"/>
    <w:rPr>
      <w:sz w:val="18"/>
      <w:szCs w:val="18"/>
    </w:rPr>
  </w:style>
  <w:style w:type="paragraph" w:styleId="13">
    <w:name w:val="footer"/>
    <w:basedOn w:val="1"/>
    <w:link w:val="3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qFormat/>
    <w:uiPriority w:val="39"/>
    <w:rPr>
      <w:rFonts w:eastAsia="仿宋"/>
      <w:sz w:val="21"/>
    </w:rPr>
  </w:style>
  <w:style w:type="paragraph" w:styleId="16">
    <w:name w:val="toc 4"/>
    <w:basedOn w:val="1"/>
    <w:next w:val="1"/>
    <w:qFormat/>
    <w:uiPriority w:val="0"/>
    <w:pPr>
      <w:ind w:left="1260" w:leftChars="600"/>
    </w:pPr>
  </w:style>
  <w:style w:type="paragraph" w:styleId="17">
    <w:name w:val="toc 2"/>
    <w:basedOn w:val="1"/>
    <w:next w:val="1"/>
    <w:qFormat/>
    <w:uiPriority w:val="39"/>
    <w:pPr>
      <w:ind w:left="420" w:leftChars="200"/>
    </w:pPr>
  </w:style>
  <w:style w:type="paragraph" w:styleId="18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9">
    <w:name w:val="Title"/>
    <w:basedOn w:val="1"/>
    <w:next w:val="1"/>
    <w:link w:val="34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21">
    <w:name w:val="Table Grid"/>
    <w:basedOn w:val="20"/>
    <w:qFormat/>
    <w:uiPriority w:val="3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FollowedHyperlink"/>
    <w:basedOn w:val="22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4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5">
    <w:name w:val="标题 1 Char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6">
    <w:name w:val="样式1"/>
    <w:basedOn w:val="22"/>
    <w:qFormat/>
    <w:uiPriority w:val="0"/>
    <w:rPr>
      <w:rFonts w:ascii="Calibri" w:hAnsi="Calibri"/>
    </w:rPr>
  </w:style>
  <w:style w:type="paragraph" w:customStyle="1" w:styleId="27">
    <w:name w:val="样式2"/>
    <w:basedOn w:val="2"/>
    <w:next w:val="1"/>
    <w:qFormat/>
    <w:uiPriority w:val="0"/>
  </w:style>
  <w:style w:type="character" w:customStyle="1" w:styleId="28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9">
    <w:name w:val="标题 5 Char"/>
    <w:basedOn w:val="22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30">
    <w:name w:val="TOC 标题1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31">
    <w:name w:val="List Paragraph"/>
    <w:basedOn w:val="1"/>
    <w:qFormat/>
    <w:uiPriority w:val="99"/>
    <w:pPr>
      <w:ind w:firstLine="420" w:firstLineChars="200"/>
    </w:pPr>
  </w:style>
  <w:style w:type="character" w:customStyle="1" w:styleId="32">
    <w:name w:val="批注框文本 Char"/>
    <w:basedOn w:val="22"/>
    <w:link w:val="12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33">
    <w:name w:val="标题 3 Char"/>
    <w:basedOn w:val="22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34">
    <w:name w:val="标题 Char"/>
    <w:basedOn w:val="22"/>
    <w:link w:val="19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5">
    <w:name w:val="未处理的提及1"/>
    <w:basedOn w:val="2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6">
    <w:name w:val="文档小标题"/>
    <w:basedOn w:val="1"/>
    <w:next w:val="8"/>
    <w:qFormat/>
    <w:uiPriority w:val="0"/>
    <w:pPr>
      <w:spacing w:line="360" w:lineRule="auto"/>
      <w:jc w:val="center"/>
    </w:pPr>
    <w:rPr>
      <w:rFonts w:ascii="Times New Roman" w:hAnsi="Times New Roman" w:eastAsia="楷体_GB2312" w:cs="Times New Roman"/>
      <w:b/>
      <w:kern w:val="0"/>
      <w:sz w:val="30"/>
      <w:szCs w:val="72"/>
    </w:rPr>
  </w:style>
  <w:style w:type="character" w:customStyle="1" w:styleId="37">
    <w:name w:val="页脚 Char"/>
    <w:basedOn w:val="22"/>
    <w:link w:val="13"/>
    <w:qFormat/>
    <w:uiPriority w:val="99"/>
    <w:rPr>
      <w:rFonts w:asciiTheme="minorHAnsi" w:hAnsiTheme="minorHAnsi" w:cstheme="minorBidi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numbering" Target="numbering.xml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FE1E-8C4F-47EF-A0A3-47B4720A1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19</Pages>
  <Words>3017</Words>
  <Characters>3534</Characters>
  <Lines>103</Lines>
  <Paragraphs>29</Paragraphs>
  <TotalTime>0</TotalTime>
  <ScaleCrop>false</ScaleCrop>
  <LinksUpToDate>false</LinksUpToDate>
  <CharactersWithSpaces>3809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刘圣圣</cp:lastModifiedBy>
  <dcterms:modified xsi:type="dcterms:W3CDTF">2022-12-31T16:57:34Z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30EBFE2A4DE2494CA9AAA97E89C1E164</vt:lpwstr>
  </property>
</Properties>
</file>